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437AD" w14:textId="78ACE1C8" w:rsidR="00013425" w:rsidRDefault="00013425" w:rsidP="0063284C">
      <w:pPr>
        <w:rPr>
          <w:rFonts w:ascii="Arial" w:hAnsi="Arial" w:cs="Arial"/>
          <w:sz w:val="24"/>
          <w:szCs w:val="24"/>
        </w:rPr>
      </w:pPr>
    </w:p>
    <w:p w14:paraId="1B5E9C63" w14:textId="17A236A4" w:rsidR="00415F88" w:rsidRDefault="00415F88" w:rsidP="0063284C">
      <w:pPr>
        <w:rPr>
          <w:rFonts w:ascii="Arial" w:hAnsi="Arial" w:cs="Arial"/>
          <w:sz w:val="24"/>
          <w:szCs w:val="24"/>
        </w:rPr>
      </w:pPr>
    </w:p>
    <w:p w14:paraId="22F61AE1" w14:textId="77777777" w:rsidR="00DB3867" w:rsidRPr="000864B4" w:rsidRDefault="00DB3867" w:rsidP="00DB3867">
      <w:pPr>
        <w:spacing w:line="360" w:lineRule="auto"/>
        <w:jc w:val="both"/>
        <w:rPr>
          <w:rFonts w:ascii="Arial" w:hAnsi="Arial" w:cs="Arial"/>
          <w:b/>
          <w:sz w:val="28"/>
          <w:szCs w:val="28"/>
        </w:rPr>
      </w:pPr>
      <w:r w:rsidRPr="000864B4">
        <w:rPr>
          <w:rFonts w:ascii="Arial" w:hAnsi="Arial" w:cs="Arial"/>
          <w:b/>
          <w:sz w:val="28"/>
          <w:szCs w:val="28"/>
        </w:rPr>
        <w:t>FOR IMMEDIATE RELEASE</w:t>
      </w:r>
    </w:p>
    <w:p w14:paraId="5672005B" w14:textId="77777777" w:rsidR="00DB3867" w:rsidRPr="00E106C7" w:rsidRDefault="00DB3867" w:rsidP="00DB3867">
      <w:pPr>
        <w:rPr>
          <w:rFonts w:ascii="Arial" w:hAnsi="Arial" w:cs="Arial"/>
        </w:rPr>
      </w:pPr>
    </w:p>
    <w:p w14:paraId="394D39A0" w14:textId="4E4E0B65" w:rsidR="00AE1964" w:rsidRDefault="00AE1964" w:rsidP="00AE1964">
      <w:pPr>
        <w:jc w:val="center"/>
        <w:rPr>
          <w:rFonts w:ascii="Arial" w:hAnsi="Arial" w:cs="Arial"/>
          <w:b/>
          <w:sz w:val="28"/>
          <w:szCs w:val="28"/>
          <w:shd w:val="clear" w:color="auto" w:fill="FFFFFF"/>
        </w:rPr>
      </w:pPr>
      <w:r w:rsidRPr="00AE1964">
        <w:rPr>
          <w:rFonts w:ascii="Arial" w:hAnsi="Arial" w:cs="Arial"/>
          <w:b/>
          <w:sz w:val="28"/>
          <w:szCs w:val="28"/>
          <w:shd w:val="clear" w:color="auto" w:fill="FFFFFF"/>
        </w:rPr>
        <w:t>Finlay</w:t>
      </w:r>
      <w:r>
        <w:rPr>
          <w:rFonts w:ascii="Arial" w:hAnsi="Arial" w:cs="Arial"/>
          <w:b/>
          <w:sz w:val="28"/>
          <w:szCs w:val="28"/>
          <w:shd w:val="clear" w:color="auto" w:fill="FFFFFF"/>
        </w:rPr>
        <w:t xml:space="preserve"> to Bring </w:t>
      </w:r>
      <w:r w:rsidRPr="00AE1964">
        <w:rPr>
          <w:rFonts w:ascii="Arial" w:hAnsi="Arial" w:cs="Arial"/>
          <w:b/>
          <w:sz w:val="28"/>
          <w:szCs w:val="28"/>
          <w:shd w:val="clear" w:color="auto" w:fill="FFFFFF"/>
        </w:rPr>
        <w:t>a</w:t>
      </w:r>
      <w:r>
        <w:rPr>
          <w:rFonts w:ascii="Arial" w:hAnsi="Arial" w:cs="Arial"/>
          <w:b/>
          <w:sz w:val="28"/>
          <w:szCs w:val="28"/>
          <w:shd w:val="clear" w:color="auto" w:fill="FFFFFF"/>
        </w:rPr>
        <w:t>n</w:t>
      </w:r>
      <w:r w:rsidRPr="00AE1964">
        <w:rPr>
          <w:rFonts w:ascii="Arial" w:hAnsi="Arial" w:cs="Arial"/>
          <w:b/>
          <w:sz w:val="28"/>
          <w:szCs w:val="28"/>
          <w:shd w:val="clear" w:color="auto" w:fill="FFFFFF"/>
        </w:rPr>
        <w:t xml:space="preserve"> Immersive Digital and Product Experience </w:t>
      </w:r>
      <w:r>
        <w:rPr>
          <w:rFonts w:ascii="Arial" w:hAnsi="Arial" w:cs="Arial"/>
          <w:b/>
          <w:sz w:val="28"/>
          <w:szCs w:val="28"/>
          <w:shd w:val="clear" w:color="auto" w:fill="FFFFFF"/>
        </w:rPr>
        <w:t xml:space="preserve">to </w:t>
      </w:r>
      <w:r w:rsidRPr="00AE1964">
        <w:rPr>
          <w:rFonts w:ascii="Arial" w:hAnsi="Arial" w:cs="Arial"/>
          <w:b/>
          <w:sz w:val="28"/>
          <w:szCs w:val="28"/>
          <w:shd w:val="clear" w:color="auto" w:fill="FFFFFF"/>
        </w:rPr>
        <w:t>CONEXPO</w:t>
      </w:r>
      <w:r w:rsidRPr="00AE1964">
        <w:rPr>
          <w:rFonts w:ascii="Cambria Math" w:hAnsi="Cambria Math" w:cs="Cambria Math"/>
          <w:b/>
          <w:sz w:val="28"/>
          <w:szCs w:val="28"/>
          <w:shd w:val="clear" w:color="auto" w:fill="FFFFFF"/>
        </w:rPr>
        <w:t>‑</w:t>
      </w:r>
      <w:r w:rsidRPr="00AE1964">
        <w:rPr>
          <w:rFonts w:ascii="Arial" w:hAnsi="Arial" w:cs="Arial"/>
          <w:b/>
          <w:sz w:val="28"/>
          <w:szCs w:val="28"/>
          <w:shd w:val="clear" w:color="auto" w:fill="FFFFFF"/>
        </w:rPr>
        <w:t>CON/AGG 2026</w:t>
      </w:r>
    </w:p>
    <w:p w14:paraId="354C8D79" w14:textId="3F3737E5" w:rsidR="00AE1964" w:rsidRDefault="00AE1964" w:rsidP="00AE1964">
      <w:pPr>
        <w:rPr>
          <w:rFonts w:ascii="Arial" w:hAnsi="Arial" w:cs="Arial"/>
          <w:bCs/>
        </w:rPr>
      </w:pPr>
      <w:r w:rsidRPr="00AE1964">
        <w:rPr>
          <w:rFonts w:ascii="Arial" w:hAnsi="Arial" w:cs="Arial"/>
          <w:bCs/>
        </w:rPr>
        <w:t>Finlay®, a global leader in mobile crushing, screening and conveying equipment, will present a showcase of innovation at CONEXPO</w:t>
      </w:r>
      <w:r w:rsidRPr="00AE1964">
        <w:rPr>
          <w:rFonts w:ascii="Cambria Math" w:hAnsi="Cambria Math" w:cs="Cambria Math"/>
          <w:bCs/>
        </w:rPr>
        <w:t>‑</w:t>
      </w:r>
      <w:r w:rsidRPr="00AE1964">
        <w:rPr>
          <w:rFonts w:ascii="Arial" w:hAnsi="Arial" w:cs="Arial"/>
          <w:bCs/>
        </w:rPr>
        <w:t>CON/AGG 2026, featuring the 883+ Mobile Scalping Screener</w:t>
      </w:r>
      <w:r>
        <w:rPr>
          <w:rFonts w:ascii="Arial" w:hAnsi="Arial" w:cs="Arial"/>
          <w:bCs/>
        </w:rPr>
        <w:t xml:space="preserve"> </w:t>
      </w:r>
      <w:r w:rsidRPr="00AE1964">
        <w:rPr>
          <w:rFonts w:ascii="Arial" w:hAnsi="Arial" w:cs="Arial"/>
          <w:bCs/>
        </w:rPr>
        <w:t>and the J</w:t>
      </w:r>
      <w:r w:rsidRPr="00AE1964">
        <w:rPr>
          <w:rFonts w:ascii="Cambria Math" w:hAnsi="Cambria Math" w:cs="Cambria Math"/>
          <w:bCs/>
        </w:rPr>
        <w:t>‑</w:t>
      </w:r>
      <w:r w:rsidRPr="00AE1964">
        <w:rPr>
          <w:rFonts w:ascii="Arial" w:hAnsi="Arial" w:cs="Arial"/>
          <w:bCs/>
        </w:rPr>
        <w:t>1280 Jaw Crusher, alongside a series of digital previews, interactive experiences and visitor engagements. Both machines, which will be shown on the Terex Booth in the Silver Lot (SV2357) at the Las Vegas Convention Center from March 3–7, 2026, form part of a comprehensive display that highlights Finlay’s commitment to productivity, efficiency, operator safety and next</w:t>
      </w:r>
      <w:r w:rsidRPr="00AE1964">
        <w:rPr>
          <w:rFonts w:ascii="Cambria Math" w:hAnsi="Cambria Math" w:cs="Cambria Math"/>
          <w:bCs/>
        </w:rPr>
        <w:t>‑</w:t>
      </w:r>
      <w:r w:rsidRPr="00AE1964">
        <w:rPr>
          <w:rFonts w:ascii="Arial" w:hAnsi="Arial" w:cs="Arial"/>
          <w:bCs/>
        </w:rPr>
        <w:t>generation digital technology.</w:t>
      </w:r>
    </w:p>
    <w:p w14:paraId="4B5D006B" w14:textId="356613E2" w:rsidR="00AE1964" w:rsidRPr="00AE1964" w:rsidRDefault="00AE1964" w:rsidP="00AE1964">
      <w:pPr>
        <w:rPr>
          <w:rFonts w:ascii="Arial" w:hAnsi="Arial" w:cs="Arial"/>
          <w:bCs/>
        </w:rPr>
      </w:pPr>
      <w:bookmarkStart w:id="0" w:name="_Hlk219903831"/>
      <w:r w:rsidRPr="00AE1964">
        <w:rPr>
          <w:rFonts w:ascii="Arial" w:hAnsi="Arial" w:cs="Arial"/>
          <w:bCs/>
        </w:rPr>
        <w:t xml:space="preserve">The Finlay® 883+ </w:t>
      </w:r>
      <w:r>
        <w:rPr>
          <w:rFonts w:ascii="Arial" w:hAnsi="Arial" w:cs="Arial"/>
          <w:bCs/>
        </w:rPr>
        <w:t>is an</w:t>
      </w:r>
      <w:r w:rsidRPr="00AE1964">
        <w:rPr>
          <w:rFonts w:ascii="Arial" w:hAnsi="Arial" w:cs="Arial"/>
          <w:bCs/>
        </w:rPr>
        <w:t xml:space="preserve"> adaptable heavy</w:t>
      </w:r>
      <w:r w:rsidRPr="00AE1964">
        <w:rPr>
          <w:rFonts w:ascii="Cambria Math" w:hAnsi="Cambria Math" w:cs="Cambria Math"/>
          <w:bCs/>
        </w:rPr>
        <w:t>‑</w:t>
      </w:r>
      <w:r w:rsidRPr="00AE1964">
        <w:rPr>
          <w:rFonts w:ascii="Arial" w:hAnsi="Arial" w:cs="Arial"/>
          <w:bCs/>
        </w:rPr>
        <w:t xml:space="preserve">duty screen capable of processing up to 600 tph </w:t>
      </w:r>
      <w:bookmarkEnd w:id="0"/>
      <w:r w:rsidRPr="00AE1964">
        <w:rPr>
          <w:rFonts w:ascii="Arial" w:hAnsi="Arial" w:cs="Arial"/>
          <w:bCs/>
        </w:rPr>
        <w:t>across applications such as quarry overburden, mining materials, construction and demolition waste, sand, gravel, compost, topsoil and coal. The machine features a 16' x 5' (4.8m x 1.5m) top and bottom deck screen, each onboard conveyor is powered by a separate hydraulic circuit, and its 36" (900mm) fines conveyor and banana</w:t>
      </w:r>
      <w:r w:rsidRPr="00AE1964">
        <w:rPr>
          <w:rFonts w:ascii="Cambria Math" w:hAnsi="Cambria Math" w:cs="Cambria Math"/>
          <w:bCs/>
        </w:rPr>
        <w:t>‑</w:t>
      </w:r>
      <w:r w:rsidRPr="00AE1964">
        <w:rPr>
          <w:rFonts w:ascii="Arial" w:hAnsi="Arial" w:cs="Arial"/>
          <w:bCs/>
        </w:rPr>
        <w:t xml:space="preserve">profile bottom deck maximise fines screening efficiency. The </w:t>
      </w:r>
      <w:proofErr w:type="spellStart"/>
      <w:r w:rsidRPr="00AE1964">
        <w:rPr>
          <w:rFonts w:ascii="Arial" w:hAnsi="Arial" w:cs="Arial"/>
          <w:bCs/>
        </w:rPr>
        <w:t>screenbox</w:t>
      </w:r>
      <w:proofErr w:type="spellEnd"/>
      <w:r w:rsidRPr="00AE1964">
        <w:rPr>
          <w:rFonts w:ascii="Arial" w:hAnsi="Arial" w:cs="Arial"/>
          <w:bCs/>
        </w:rPr>
        <w:t xml:space="preserve"> discharge end can be raised by 20" (500mm) to allow easier media changes, and fully reversible side conveyors offer operational flexibility. </w:t>
      </w:r>
      <w:bookmarkStart w:id="1" w:name="_Hlk219903862"/>
      <w:r w:rsidRPr="00AE1964">
        <w:rPr>
          <w:rFonts w:ascii="Arial" w:hAnsi="Arial" w:cs="Arial"/>
          <w:bCs/>
        </w:rPr>
        <w:t>The model is available in both hybrid configuration</w:t>
      </w:r>
      <w:r w:rsidR="00176E09">
        <w:rPr>
          <w:rFonts w:ascii="Arial" w:hAnsi="Arial" w:cs="Arial"/>
          <w:bCs/>
        </w:rPr>
        <w:t xml:space="preserve"> (</w:t>
      </w:r>
      <w:r w:rsidRPr="00AE1964">
        <w:rPr>
          <w:rFonts w:ascii="Arial" w:hAnsi="Arial" w:cs="Arial"/>
          <w:bCs/>
        </w:rPr>
        <w:t>allowing operation via an external power supply or onboard engine</w:t>
      </w:r>
      <w:r w:rsidR="00176E09">
        <w:rPr>
          <w:rFonts w:ascii="Arial" w:hAnsi="Arial" w:cs="Arial"/>
          <w:bCs/>
        </w:rPr>
        <w:t xml:space="preserve">) </w:t>
      </w:r>
      <w:r w:rsidRPr="00AE1964">
        <w:rPr>
          <w:rFonts w:ascii="Arial" w:hAnsi="Arial" w:cs="Arial"/>
          <w:bCs/>
        </w:rPr>
        <w:t>and an electric</w:t>
      </w:r>
      <w:r w:rsidRPr="00AE1964">
        <w:rPr>
          <w:rFonts w:ascii="Cambria Math" w:hAnsi="Cambria Math" w:cs="Cambria Math"/>
          <w:bCs/>
        </w:rPr>
        <w:t>‑</w:t>
      </w:r>
      <w:r w:rsidRPr="00AE1964">
        <w:rPr>
          <w:rFonts w:ascii="Arial" w:hAnsi="Arial" w:cs="Arial"/>
          <w:bCs/>
        </w:rPr>
        <w:t>powered version</w:t>
      </w:r>
      <w:r w:rsidR="00176E09">
        <w:rPr>
          <w:rFonts w:ascii="Arial" w:hAnsi="Arial" w:cs="Arial"/>
          <w:bCs/>
        </w:rPr>
        <w:t xml:space="preserve"> (</w:t>
      </w:r>
      <w:r w:rsidRPr="00AE1964">
        <w:rPr>
          <w:rFonts w:ascii="Arial" w:hAnsi="Arial" w:cs="Arial"/>
          <w:bCs/>
        </w:rPr>
        <w:t>launched last year</w:t>
      </w:r>
      <w:r w:rsidR="00176E09">
        <w:rPr>
          <w:rFonts w:ascii="Arial" w:hAnsi="Arial" w:cs="Arial"/>
          <w:bCs/>
        </w:rPr>
        <w:t>),</w:t>
      </w:r>
      <w:r w:rsidRPr="00AE1964">
        <w:rPr>
          <w:rFonts w:ascii="Arial" w:hAnsi="Arial" w:cs="Arial"/>
          <w:bCs/>
        </w:rPr>
        <w:t xml:space="preserve"> which further enhances sustainability and lowers operating costs</w:t>
      </w:r>
      <w:bookmarkEnd w:id="1"/>
      <w:r w:rsidRPr="00AE1964">
        <w:rPr>
          <w:rFonts w:ascii="Arial" w:hAnsi="Arial" w:cs="Arial"/>
          <w:bCs/>
        </w:rPr>
        <w:t>. The machine on display reflects ongoing investment in user</w:t>
      </w:r>
      <w:r w:rsidRPr="00AE1964">
        <w:rPr>
          <w:rFonts w:ascii="Cambria Math" w:hAnsi="Cambria Math" w:cs="Cambria Math"/>
          <w:bCs/>
        </w:rPr>
        <w:t>‑</w:t>
      </w:r>
      <w:r w:rsidRPr="00AE1964">
        <w:rPr>
          <w:rFonts w:ascii="Arial" w:hAnsi="Arial" w:cs="Arial"/>
          <w:bCs/>
        </w:rPr>
        <w:t>focused improvements, including a redesigned feeder with hydraulically folding and locking extensions for rear feeding by wheel loader, and a hopper now manufactured from wear</w:t>
      </w:r>
      <w:r w:rsidRPr="00AE1964">
        <w:rPr>
          <w:rFonts w:ascii="Cambria Math" w:hAnsi="Cambria Math" w:cs="Cambria Math"/>
          <w:bCs/>
        </w:rPr>
        <w:t>‑</w:t>
      </w:r>
      <w:r w:rsidRPr="00AE1964">
        <w:rPr>
          <w:rFonts w:ascii="Arial" w:hAnsi="Arial" w:cs="Arial"/>
          <w:bCs/>
        </w:rPr>
        <w:t>resistant steel with optional linings for added durability.</w:t>
      </w:r>
    </w:p>
    <w:p w14:paraId="49E5F1EC" w14:textId="5C21E3CC" w:rsidR="00AE1964" w:rsidRPr="00AE1964" w:rsidRDefault="00AE1964" w:rsidP="00AE1964">
      <w:pPr>
        <w:rPr>
          <w:rFonts w:ascii="Arial" w:hAnsi="Arial" w:cs="Arial"/>
          <w:bCs/>
        </w:rPr>
      </w:pPr>
      <w:r w:rsidRPr="00AE1964">
        <w:rPr>
          <w:rFonts w:ascii="Arial" w:hAnsi="Arial" w:cs="Arial"/>
          <w:bCs/>
        </w:rPr>
        <w:t xml:space="preserve">Complementing the 883+ will be </w:t>
      </w:r>
      <w:bookmarkStart w:id="2" w:name="_Hlk219903920"/>
      <w:r w:rsidRPr="00AE1964">
        <w:rPr>
          <w:rFonts w:ascii="Arial" w:hAnsi="Arial" w:cs="Arial"/>
          <w:bCs/>
        </w:rPr>
        <w:t>the J</w:t>
      </w:r>
      <w:r w:rsidRPr="00AE1964">
        <w:rPr>
          <w:rFonts w:ascii="Cambria Math" w:hAnsi="Cambria Math" w:cs="Cambria Math"/>
          <w:bCs/>
        </w:rPr>
        <w:t>‑</w:t>
      </w:r>
      <w:r w:rsidRPr="00AE1964">
        <w:rPr>
          <w:rFonts w:ascii="Arial" w:hAnsi="Arial" w:cs="Arial"/>
          <w:bCs/>
        </w:rPr>
        <w:t>1280 Jaw Crusher, engineered to provide excellent capacity in a transport</w:t>
      </w:r>
      <w:r w:rsidRPr="00AE1964">
        <w:rPr>
          <w:rFonts w:ascii="Cambria Math" w:hAnsi="Cambria Math" w:cs="Cambria Math"/>
          <w:bCs/>
        </w:rPr>
        <w:t>‑</w:t>
      </w:r>
      <w:r w:rsidRPr="00AE1964">
        <w:rPr>
          <w:rFonts w:ascii="Arial" w:hAnsi="Arial" w:cs="Arial"/>
          <w:bCs/>
        </w:rPr>
        <w:t>friendly package</w:t>
      </w:r>
      <w:bookmarkEnd w:id="2"/>
      <w:r w:rsidRPr="00AE1964">
        <w:rPr>
          <w:rFonts w:ascii="Arial" w:hAnsi="Arial" w:cs="Arial"/>
          <w:bCs/>
        </w:rPr>
        <w:t xml:space="preserve">. </w:t>
      </w:r>
      <w:bookmarkStart w:id="3" w:name="_Hlk219903971"/>
      <w:r w:rsidRPr="00AE1964">
        <w:rPr>
          <w:rFonts w:ascii="Arial" w:hAnsi="Arial" w:cs="Arial"/>
          <w:bCs/>
        </w:rPr>
        <w:t>Positioned between the J</w:t>
      </w:r>
      <w:r w:rsidRPr="00AE1964">
        <w:rPr>
          <w:rFonts w:ascii="Cambria Math" w:hAnsi="Cambria Math" w:cs="Cambria Math"/>
          <w:bCs/>
        </w:rPr>
        <w:t>‑</w:t>
      </w:r>
      <w:r w:rsidRPr="00AE1964">
        <w:rPr>
          <w:rFonts w:ascii="Arial" w:hAnsi="Arial" w:cs="Arial"/>
          <w:bCs/>
        </w:rPr>
        <w:t>1175 and the larger J</w:t>
      </w:r>
      <w:r w:rsidRPr="00AE1964">
        <w:rPr>
          <w:rFonts w:ascii="Cambria Math" w:hAnsi="Cambria Math" w:cs="Cambria Math"/>
          <w:bCs/>
        </w:rPr>
        <w:t>‑</w:t>
      </w:r>
      <w:r w:rsidRPr="00AE1964">
        <w:rPr>
          <w:rFonts w:ascii="Arial" w:hAnsi="Arial" w:cs="Arial"/>
          <w:bCs/>
        </w:rPr>
        <w:t>1480, the J</w:t>
      </w:r>
      <w:r w:rsidRPr="00AE1964">
        <w:rPr>
          <w:rFonts w:ascii="Cambria Math" w:hAnsi="Cambria Math" w:cs="Cambria Math"/>
          <w:bCs/>
        </w:rPr>
        <w:t>‑</w:t>
      </w:r>
      <w:r w:rsidRPr="00AE1964">
        <w:rPr>
          <w:rFonts w:ascii="Arial" w:hAnsi="Arial" w:cs="Arial"/>
          <w:bCs/>
        </w:rPr>
        <w:t>1280 features a 47" x 32" (1200mm x 820mm) Terex® single</w:t>
      </w:r>
      <w:r w:rsidRPr="00AE1964">
        <w:rPr>
          <w:rFonts w:ascii="Cambria Math" w:hAnsi="Cambria Math" w:cs="Cambria Math"/>
          <w:bCs/>
        </w:rPr>
        <w:t>‑</w:t>
      </w:r>
      <w:r w:rsidRPr="00AE1964">
        <w:rPr>
          <w:rFonts w:ascii="Arial" w:hAnsi="Arial" w:cs="Arial"/>
          <w:bCs/>
        </w:rPr>
        <w:t>toggle jaw chamber that delivers robust performance in hard</w:t>
      </w:r>
      <w:r w:rsidRPr="00AE1964">
        <w:rPr>
          <w:rFonts w:ascii="Cambria Math" w:hAnsi="Cambria Math" w:cs="Cambria Math"/>
          <w:bCs/>
        </w:rPr>
        <w:t>‑</w:t>
      </w:r>
      <w:r w:rsidRPr="00AE1964">
        <w:rPr>
          <w:rFonts w:ascii="Arial" w:hAnsi="Arial" w:cs="Arial"/>
          <w:bCs/>
        </w:rPr>
        <w:t>rock applications</w:t>
      </w:r>
      <w:bookmarkEnd w:id="3"/>
      <w:r w:rsidRPr="00AE1964">
        <w:rPr>
          <w:rFonts w:ascii="Arial" w:hAnsi="Arial" w:cs="Arial"/>
          <w:bCs/>
        </w:rPr>
        <w:t>. Its hydrostatic drive system enables continuous reverse operation for rapid, safe blockage clearing without requiring personnel to work at height or conduct lock</w:t>
      </w:r>
      <w:r w:rsidRPr="00AE1964">
        <w:rPr>
          <w:rFonts w:ascii="Cambria Math" w:hAnsi="Cambria Math" w:cs="Cambria Math"/>
          <w:bCs/>
        </w:rPr>
        <w:t>‑</w:t>
      </w:r>
      <w:r w:rsidRPr="00AE1964">
        <w:rPr>
          <w:rFonts w:ascii="Arial" w:hAnsi="Arial" w:cs="Arial"/>
          <w:bCs/>
        </w:rPr>
        <w:t>out/tag</w:t>
      </w:r>
      <w:r w:rsidRPr="00AE1964">
        <w:rPr>
          <w:rFonts w:ascii="Cambria Math" w:hAnsi="Cambria Math" w:cs="Cambria Math"/>
          <w:bCs/>
        </w:rPr>
        <w:t>‑</w:t>
      </w:r>
      <w:r w:rsidRPr="00AE1964">
        <w:rPr>
          <w:rFonts w:ascii="Arial" w:hAnsi="Arial" w:cs="Arial"/>
          <w:bCs/>
        </w:rPr>
        <w:t>out procedures. With transport</w:t>
      </w:r>
      <w:r w:rsidRPr="00AE1964">
        <w:rPr>
          <w:rFonts w:ascii="Cambria Math" w:hAnsi="Cambria Math" w:cs="Cambria Math"/>
          <w:bCs/>
        </w:rPr>
        <w:t>‑</w:t>
      </w:r>
      <w:r w:rsidRPr="00AE1964">
        <w:rPr>
          <w:rFonts w:ascii="Arial" w:hAnsi="Arial" w:cs="Arial"/>
          <w:bCs/>
        </w:rPr>
        <w:t>optimised weight and multiple feed</w:t>
      </w:r>
      <w:r w:rsidRPr="00AE1964">
        <w:rPr>
          <w:rFonts w:ascii="Cambria Math" w:hAnsi="Cambria Math" w:cs="Cambria Math"/>
          <w:bCs/>
        </w:rPr>
        <w:t>‑</w:t>
      </w:r>
      <w:r w:rsidRPr="00AE1964">
        <w:rPr>
          <w:rFonts w:ascii="Arial" w:hAnsi="Arial" w:cs="Arial"/>
          <w:bCs/>
        </w:rPr>
        <w:t>in configurations available</w:t>
      </w:r>
      <w:r>
        <w:rPr>
          <w:rFonts w:ascii="Arial" w:hAnsi="Arial" w:cs="Arial"/>
          <w:bCs/>
        </w:rPr>
        <w:t xml:space="preserve">, </w:t>
      </w:r>
      <w:r w:rsidRPr="00AE1964">
        <w:rPr>
          <w:rFonts w:ascii="Arial" w:hAnsi="Arial" w:cs="Arial"/>
          <w:bCs/>
        </w:rPr>
        <w:t>including a standard vibrating grizzly feeder (VGF), pre</w:t>
      </w:r>
      <w:r w:rsidRPr="00AE1964">
        <w:rPr>
          <w:rFonts w:ascii="Cambria Math" w:hAnsi="Cambria Math" w:cs="Cambria Math"/>
          <w:bCs/>
        </w:rPr>
        <w:t>‑</w:t>
      </w:r>
      <w:r w:rsidRPr="00AE1964">
        <w:rPr>
          <w:rFonts w:ascii="Arial" w:hAnsi="Arial" w:cs="Arial"/>
          <w:bCs/>
        </w:rPr>
        <w:t>screen options and an extended pan feeder with pre</w:t>
      </w:r>
      <w:r w:rsidRPr="00AE1964">
        <w:rPr>
          <w:rFonts w:ascii="Cambria Math" w:hAnsi="Cambria Math" w:cs="Cambria Math"/>
          <w:bCs/>
        </w:rPr>
        <w:t>‑</w:t>
      </w:r>
      <w:r w:rsidRPr="00AE1964">
        <w:rPr>
          <w:rFonts w:ascii="Arial" w:hAnsi="Arial" w:cs="Arial"/>
          <w:bCs/>
        </w:rPr>
        <w:t>screen</w:t>
      </w:r>
      <w:r>
        <w:rPr>
          <w:rFonts w:ascii="Arial" w:hAnsi="Arial" w:cs="Arial"/>
          <w:bCs/>
        </w:rPr>
        <w:t xml:space="preserve">, </w:t>
      </w:r>
      <w:r w:rsidRPr="00AE1964">
        <w:rPr>
          <w:rFonts w:ascii="Arial" w:hAnsi="Arial" w:cs="Arial"/>
          <w:bCs/>
        </w:rPr>
        <w:t>the J</w:t>
      </w:r>
      <w:r w:rsidRPr="00AE1964">
        <w:rPr>
          <w:rFonts w:ascii="Cambria Math" w:hAnsi="Cambria Math" w:cs="Cambria Math"/>
          <w:bCs/>
        </w:rPr>
        <w:t>‑</w:t>
      </w:r>
      <w:r w:rsidRPr="00AE1964">
        <w:rPr>
          <w:rFonts w:ascii="Arial" w:hAnsi="Arial" w:cs="Arial"/>
          <w:bCs/>
        </w:rPr>
        <w:t>1280 provides the flexibility needed for contractors seeking high output with streamlined logistics.</w:t>
      </w:r>
    </w:p>
    <w:p w14:paraId="157EB78A" w14:textId="432385D2" w:rsidR="00AE1964" w:rsidRPr="00AE1964" w:rsidRDefault="00176E09" w:rsidP="00AE1964">
      <w:pPr>
        <w:rPr>
          <w:rFonts w:ascii="Arial" w:hAnsi="Arial" w:cs="Arial"/>
          <w:bCs/>
        </w:rPr>
      </w:pPr>
      <w:r>
        <w:rPr>
          <w:rFonts w:ascii="Arial" w:hAnsi="Arial" w:cs="Arial"/>
          <w:bCs/>
        </w:rPr>
        <w:t xml:space="preserve">While </w:t>
      </w:r>
      <w:r w:rsidR="00AE1964" w:rsidRPr="00AE1964">
        <w:rPr>
          <w:rFonts w:ascii="Arial" w:hAnsi="Arial" w:cs="Arial"/>
          <w:bCs/>
        </w:rPr>
        <w:t>these machines are well</w:t>
      </w:r>
      <w:r w:rsidR="00AE1964" w:rsidRPr="00AE1964">
        <w:rPr>
          <w:rFonts w:ascii="Cambria Math" w:hAnsi="Cambria Math" w:cs="Cambria Math"/>
          <w:bCs/>
        </w:rPr>
        <w:t>‑</w:t>
      </w:r>
      <w:r w:rsidR="00AE1964" w:rsidRPr="00AE1964">
        <w:rPr>
          <w:rFonts w:ascii="Arial" w:hAnsi="Arial" w:cs="Arial"/>
          <w:bCs/>
        </w:rPr>
        <w:t xml:space="preserve">established performers in the Finlay range, the brand will </w:t>
      </w:r>
      <w:r w:rsidR="00AE1964">
        <w:rPr>
          <w:rFonts w:ascii="Arial" w:hAnsi="Arial" w:cs="Arial"/>
          <w:bCs/>
        </w:rPr>
        <w:t>also bring</w:t>
      </w:r>
      <w:r w:rsidR="00AE1964" w:rsidRPr="00AE1964">
        <w:rPr>
          <w:rFonts w:ascii="Arial" w:hAnsi="Arial" w:cs="Arial"/>
          <w:bCs/>
        </w:rPr>
        <w:t xml:space="preserve"> new developments to CONEXPO in digital form. Finlay will preview the upcoming I</w:t>
      </w:r>
      <w:r w:rsidR="00AE1964" w:rsidRPr="00AE1964">
        <w:rPr>
          <w:rFonts w:ascii="Cambria Math" w:hAnsi="Cambria Math" w:cs="Cambria Math"/>
          <w:bCs/>
        </w:rPr>
        <w:t>‑</w:t>
      </w:r>
      <w:r w:rsidR="00AE1964" w:rsidRPr="00AE1964">
        <w:rPr>
          <w:rFonts w:ascii="Arial" w:hAnsi="Arial" w:cs="Arial"/>
          <w:bCs/>
        </w:rPr>
        <w:t>130 and I</w:t>
      </w:r>
      <w:r w:rsidR="00AE1964" w:rsidRPr="00AE1964">
        <w:rPr>
          <w:rFonts w:ascii="Cambria Math" w:hAnsi="Cambria Math" w:cs="Cambria Math"/>
          <w:bCs/>
        </w:rPr>
        <w:t>‑</w:t>
      </w:r>
      <w:r w:rsidR="00AE1964" w:rsidRPr="00AE1964">
        <w:rPr>
          <w:rFonts w:ascii="Arial" w:hAnsi="Arial" w:cs="Arial"/>
          <w:bCs/>
        </w:rPr>
        <w:t>130RS impact crushers, which will officially launch at Hillhead in June. CONEXPO visitors will be the first to see a full suite of supporting assets</w:t>
      </w:r>
      <w:r w:rsidR="00AE1964">
        <w:rPr>
          <w:rFonts w:ascii="Arial" w:hAnsi="Arial" w:cs="Arial"/>
          <w:bCs/>
        </w:rPr>
        <w:t xml:space="preserve"> including </w:t>
      </w:r>
      <w:r w:rsidR="00AE1964" w:rsidRPr="00AE1964">
        <w:rPr>
          <w:rFonts w:ascii="Arial" w:hAnsi="Arial" w:cs="Arial"/>
          <w:bCs/>
        </w:rPr>
        <w:t>videos, animations, photography, renders and brochures</w:t>
      </w:r>
      <w:r w:rsidR="00AE1964">
        <w:rPr>
          <w:rFonts w:ascii="Arial" w:hAnsi="Arial" w:cs="Arial"/>
          <w:bCs/>
        </w:rPr>
        <w:t xml:space="preserve">, </w:t>
      </w:r>
      <w:r w:rsidR="00AE1964" w:rsidRPr="00AE1964">
        <w:rPr>
          <w:rFonts w:ascii="Arial" w:hAnsi="Arial" w:cs="Arial"/>
          <w:bCs/>
        </w:rPr>
        <w:t>alongside the debut showing of a 1:20 scale model of the I</w:t>
      </w:r>
      <w:r w:rsidR="00AE1964" w:rsidRPr="00AE1964">
        <w:rPr>
          <w:rFonts w:ascii="Cambria Math" w:hAnsi="Cambria Math" w:cs="Cambria Math"/>
          <w:bCs/>
        </w:rPr>
        <w:t>‑</w:t>
      </w:r>
      <w:r w:rsidR="00AE1964" w:rsidRPr="00AE1964">
        <w:rPr>
          <w:rFonts w:ascii="Arial" w:hAnsi="Arial" w:cs="Arial"/>
          <w:bCs/>
        </w:rPr>
        <w:t>130RS. The animation</w:t>
      </w:r>
      <w:r w:rsidR="00AE1964">
        <w:rPr>
          <w:rFonts w:ascii="Arial" w:hAnsi="Arial" w:cs="Arial"/>
          <w:bCs/>
        </w:rPr>
        <w:t xml:space="preserve"> </w:t>
      </w:r>
      <w:r w:rsidR="00AE1964" w:rsidRPr="00AE1964">
        <w:rPr>
          <w:rFonts w:ascii="Arial" w:hAnsi="Arial" w:cs="Arial"/>
          <w:bCs/>
        </w:rPr>
        <w:t>will also be shown publicly for the first time.</w:t>
      </w:r>
    </w:p>
    <w:p w14:paraId="28D1C6DD" w14:textId="77777777" w:rsidR="00AE1964" w:rsidRDefault="00AE1964" w:rsidP="00AE1964">
      <w:pPr>
        <w:rPr>
          <w:rFonts w:ascii="Arial" w:hAnsi="Arial" w:cs="Arial"/>
          <w:bCs/>
        </w:rPr>
      </w:pPr>
    </w:p>
    <w:p w14:paraId="71F03CE2" w14:textId="77777777" w:rsidR="00AE1964" w:rsidRDefault="00AE1964" w:rsidP="00AE1964">
      <w:pPr>
        <w:rPr>
          <w:rFonts w:ascii="Arial" w:hAnsi="Arial" w:cs="Arial"/>
          <w:bCs/>
        </w:rPr>
      </w:pPr>
    </w:p>
    <w:p w14:paraId="3953E394" w14:textId="11C950DB" w:rsidR="00AE1964" w:rsidRPr="00AE1964" w:rsidRDefault="00AE1964" w:rsidP="00AE1964">
      <w:pPr>
        <w:rPr>
          <w:rFonts w:ascii="Arial" w:hAnsi="Arial" w:cs="Arial"/>
          <w:bCs/>
        </w:rPr>
      </w:pPr>
      <w:r w:rsidRPr="00AE1964">
        <w:rPr>
          <w:rFonts w:ascii="Arial" w:hAnsi="Arial" w:cs="Arial"/>
          <w:bCs/>
        </w:rPr>
        <w:t xml:space="preserve">Finlay is further elevating its digital experience at the show through </w:t>
      </w:r>
      <w:r>
        <w:rPr>
          <w:rFonts w:ascii="Arial" w:hAnsi="Arial" w:cs="Arial"/>
          <w:bCs/>
        </w:rPr>
        <w:t xml:space="preserve">it significantly enhanced </w:t>
      </w:r>
      <w:r w:rsidRPr="00AE1964">
        <w:rPr>
          <w:rFonts w:ascii="Arial" w:hAnsi="Arial" w:cs="Arial"/>
          <w:bCs/>
        </w:rPr>
        <w:t xml:space="preserve">Terex Events App, </w:t>
      </w:r>
      <w:r>
        <w:rPr>
          <w:rFonts w:ascii="Arial" w:hAnsi="Arial" w:cs="Arial"/>
          <w:bCs/>
        </w:rPr>
        <w:t>a</w:t>
      </w:r>
      <w:r w:rsidRPr="00AE1964">
        <w:rPr>
          <w:rFonts w:ascii="Arial" w:hAnsi="Arial" w:cs="Arial"/>
          <w:bCs/>
        </w:rPr>
        <w:t xml:space="preserve"> version unique to the </w:t>
      </w:r>
      <w:r>
        <w:rPr>
          <w:rFonts w:ascii="Arial" w:hAnsi="Arial" w:cs="Arial"/>
          <w:bCs/>
        </w:rPr>
        <w:t xml:space="preserve">Finlay </w:t>
      </w:r>
      <w:r w:rsidRPr="00AE1964">
        <w:rPr>
          <w:rFonts w:ascii="Arial" w:hAnsi="Arial" w:cs="Arial"/>
          <w:bCs/>
        </w:rPr>
        <w:t>brand. The app will feature real</w:t>
      </w:r>
      <w:r w:rsidRPr="00AE1964">
        <w:rPr>
          <w:rFonts w:ascii="Cambria Math" w:hAnsi="Cambria Math" w:cs="Cambria Math"/>
          <w:bCs/>
        </w:rPr>
        <w:t>‑</w:t>
      </w:r>
      <w:r w:rsidRPr="00AE1964">
        <w:rPr>
          <w:rFonts w:ascii="Arial" w:hAnsi="Arial" w:cs="Arial"/>
          <w:bCs/>
        </w:rPr>
        <w:t>time 3D models of the I</w:t>
      </w:r>
      <w:r w:rsidRPr="00AE1964">
        <w:rPr>
          <w:rFonts w:ascii="Cambria Math" w:hAnsi="Cambria Math" w:cs="Cambria Math"/>
          <w:bCs/>
        </w:rPr>
        <w:t>‑</w:t>
      </w:r>
      <w:r w:rsidRPr="00AE1964">
        <w:rPr>
          <w:rFonts w:ascii="Arial" w:hAnsi="Arial" w:cs="Arial"/>
          <w:bCs/>
        </w:rPr>
        <w:t>130, I</w:t>
      </w:r>
      <w:r w:rsidRPr="00AE1964">
        <w:rPr>
          <w:rFonts w:ascii="Cambria Math" w:hAnsi="Cambria Math" w:cs="Cambria Math"/>
          <w:bCs/>
        </w:rPr>
        <w:t>‑</w:t>
      </w:r>
      <w:r w:rsidRPr="00AE1964">
        <w:rPr>
          <w:rFonts w:ascii="Arial" w:hAnsi="Arial" w:cs="Arial"/>
          <w:bCs/>
        </w:rPr>
        <w:t>130RS, J</w:t>
      </w:r>
      <w:r w:rsidRPr="00AE1964">
        <w:rPr>
          <w:rFonts w:ascii="Cambria Math" w:hAnsi="Cambria Math" w:cs="Cambria Math"/>
          <w:bCs/>
        </w:rPr>
        <w:t>‑</w:t>
      </w:r>
      <w:r w:rsidRPr="00AE1964">
        <w:rPr>
          <w:rFonts w:ascii="Arial" w:hAnsi="Arial" w:cs="Arial"/>
          <w:bCs/>
        </w:rPr>
        <w:t xml:space="preserve">1280, 694 and 694 </w:t>
      </w:r>
      <w:proofErr w:type="spellStart"/>
      <w:r w:rsidRPr="00AE1964">
        <w:rPr>
          <w:rFonts w:ascii="Arial" w:hAnsi="Arial" w:cs="Arial"/>
          <w:bCs/>
        </w:rPr>
        <w:t>Rinser</w:t>
      </w:r>
      <w:proofErr w:type="spellEnd"/>
      <w:r w:rsidRPr="00AE1964">
        <w:rPr>
          <w:rFonts w:ascii="Arial" w:hAnsi="Arial" w:cs="Arial"/>
          <w:bCs/>
        </w:rPr>
        <w:t>, offering visitors an interactive way to explore machine capabilities in detail.</w:t>
      </w:r>
    </w:p>
    <w:p w14:paraId="624E7251" w14:textId="39465BDC" w:rsidR="00AE1964" w:rsidRPr="00AE1964" w:rsidRDefault="00AE1964" w:rsidP="00AE1964">
      <w:pPr>
        <w:rPr>
          <w:rFonts w:ascii="Arial" w:hAnsi="Arial" w:cs="Arial"/>
          <w:bCs/>
        </w:rPr>
      </w:pPr>
      <w:r w:rsidRPr="00AE1964">
        <w:rPr>
          <w:rFonts w:ascii="Arial" w:hAnsi="Arial" w:cs="Arial"/>
          <w:bCs/>
        </w:rPr>
        <w:t>In addition, Finlay will run a special competition during CONEXPO for visitors to win the first 1:50 scale model of the 883+, currently in prototype development and expected to be commercially available by June 2026.</w:t>
      </w:r>
    </w:p>
    <w:p w14:paraId="157C6B74" w14:textId="659C1DD0" w:rsidR="00AE1964" w:rsidRDefault="00AE1964" w:rsidP="00AE1964">
      <w:pPr>
        <w:rPr>
          <w:rFonts w:ascii="Arial" w:hAnsi="Arial" w:cs="Arial"/>
          <w:bCs/>
        </w:rPr>
      </w:pPr>
      <w:r w:rsidRPr="00AE1964">
        <w:rPr>
          <w:rFonts w:ascii="Arial" w:hAnsi="Arial" w:cs="Arial"/>
          <w:bCs/>
        </w:rPr>
        <w:t>Matt Dickson, Business Line Director for Finlay, said, ““Our team takes great pride in bringing machines such as the 883+ and the J</w:t>
      </w:r>
      <w:r w:rsidRPr="00AE1964">
        <w:rPr>
          <w:rFonts w:ascii="Cambria Math" w:hAnsi="Cambria Math" w:cs="Cambria Math"/>
          <w:bCs/>
        </w:rPr>
        <w:t>‑</w:t>
      </w:r>
      <w:r w:rsidRPr="00AE1964">
        <w:rPr>
          <w:rFonts w:ascii="Arial" w:hAnsi="Arial" w:cs="Arial"/>
          <w:bCs/>
        </w:rPr>
        <w:t>1280 to the global stage that is CONEXPO. These models represent the engineering excellence and dedication that define the Finlay brand. This year, we’re also showcasing much more across the stand, reflecting the depth of innovation and customer</w:t>
      </w:r>
      <w:r w:rsidRPr="00AE1964">
        <w:rPr>
          <w:rFonts w:ascii="Cambria Math" w:hAnsi="Cambria Math" w:cs="Cambria Math"/>
          <w:bCs/>
        </w:rPr>
        <w:t>‑</w:t>
      </w:r>
      <w:r w:rsidRPr="00AE1964">
        <w:rPr>
          <w:rFonts w:ascii="Arial" w:hAnsi="Arial" w:cs="Arial"/>
          <w:bCs/>
        </w:rPr>
        <w:t xml:space="preserve">focused development happening </w:t>
      </w:r>
      <w:r>
        <w:rPr>
          <w:rFonts w:ascii="Arial" w:hAnsi="Arial" w:cs="Arial"/>
          <w:bCs/>
        </w:rPr>
        <w:t>across</w:t>
      </w:r>
      <w:r w:rsidRPr="00AE1964">
        <w:rPr>
          <w:rFonts w:ascii="Arial" w:hAnsi="Arial" w:cs="Arial"/>
          <w:bCs/>
        </w:rPr>
        <w:t xml:space="preserve"> the business. We welcome visitors to experience this first</w:t>
      </w:r>
      <w:r w:rsidRPr="00AE1964">
        <w:rPr>
          <w:rFonts w:ascii="Cambria Math" w:hAnsi="Cambria Math" w:cs="Cambria Math"/>
          <w:bCs/>
        </w:rPr>
        <w:t>‑</w:t>
      </w:r>
      <w:r w:rsidRPr="00AE1964">
        <w:rPr>
          <w:rFonts w:ascii="Arial" w:hAnsi="Arial" w:cs="Arial"/>
          <w:bCs/>
        </w:rPr>
        <w:t>hand on the Terex Booth, Silver Lot (SV2357), where our team will be available throughout the week to discuss applications, performance benefits and technology advancements.”</w:t>
      </w:r>
    </w:p>
    <w:p w14:paraId="138D8D80" w14:textId="50778D81" w:rsidR="003075CA" w:rsidRPr="008030B4" w:rsidRDefault="003075CA" w:rsidP="00AE1964">
      <w:pPr>
        <w:rPr>
          <w:rFonts w:ascii="Arial" w:hAnsi="Arial" w:cs="Arial"/>
          <w:bCs/>
        </w:rPr>
      </w:pPr>
      <w:r>
        <w:rPr>
          <w:rFonts w:ascii="Arial" w:hAnsi="Arial" w:cs="Arial"/>
          <w:bCs/>
        </w:rPr>
        <w:t xml:space="preserve">For more information, please visit: </w:t>
      </w:r>
      <w:hyperlink r:id="rId7" w:history="1">
        <w:r w:rsidRPr="00441569">
          <w:rPr>
            <w:rStyle w:val="Hyperlink"/>
            <w:rFonts w:ascii="Arial" w:hAnsi="Arial" w:cs="Arial"/>
            <w:bCs/>
          </w:rPr>
          <w:t>www.terex.com/finlay</w:t>
        </w:r>
      </w:hyperlink>
      <w:r>
        <w:rPr>
          <w:rFonts w:ascii="Arial" w:hAnsi="Arial" w:cs="Arial"/>
          <w:bCs/>
        </w:rPr>
        <w:t xml:space="preserve"> </w:t>
      </w:r>
    </w:p>
    <w:p w14:paraId="6E5D74EB" w14:textId="1A8263D2" w:rsidR="00DB3867" w:rsidRPr="008E04A7" w:rsidRDefault="00DB3867" w:rsidP="008030B4">
      <w:pPr>
        <w:jc w:val="center"/>
        <w:rPr>
          <w:rStyle w:val="Strong"/>
          <w:rFonts w:ascii="Arial" w:hAnsi="Arial" w:cs="Arial"/>
          <w:sz w:val="28"/>
          <w:szCs w:val="28"/>
          <w:lang w:val="en"/>
        </w:rPr>
      </w:pPr>
      <w:r w:rsidRPr="008E04A7">
        <w:rPr>
          <w:rStyle w:val="Strong"/>
          <w:rFonts w:ascii="Arial" w:hAnsi="Arial" w:cs="Arial"/>
          <w:sz w:val="28"/>
          <w:szCs w:val="28"/>
          <w:lang w:val="en"/>
        </w:rPr>
        <w:t>ENDS</w:t>
      </w:r>
    </w:p>
    <w:p w14:paraId="125B597B" w14:textId="77777777" w:rsidR="00DB3867" w:rsidRDefault="00DB3867" w:rsidP="00DB3867">
      <w:pPr>
        <w:rPr>
          <w:rStyle w:val="Strong"/>
          <w:rFonts w:ascii="Arial" w:hAnsi="Arial" w:cs="Arial"/>
          <w:lang w:val="en"/>
        </w:rPr>
      </w:pPr>
      <w:r w:rsidRPr="008E04A7">
        <w:rPr>
          <w:rStyle w:val="Strong"/>
          <w:rFonts w:ascii="Arial" w:hAnsi="Arial" w:cs="Arial"/>
          <w:lang w:val="en"/>
        </w:rPr>
        <w:t>Media Contact</w:t>
      </w:r>
      <w:r>
        <w:rPr>
          <w:rStyle w:val="Strong"/>
          <w:rFonts w:ascii="Arial" w:hAnsi="Arial" w:cs="Arial"/>
          <w:lang w:val="en"/>
        </w:rPr>
        <w:t>s</w:t>
      </w:r>
      <w:r w:rsidRPr="008E04A7">
        <w:rPr>
          <w:rStyle w:val="Strong"/>
          <w:rFonts w:ascii="Arial" w:hAnsi="Arial" w:cs="Arial"/>
          <w:lang w:val="en"/>
        </w:rPr>
        <w:t>:</w:t>
      </w:r>
    </w:p>
    <w:p w14:paraId="55846BC5" w14:textId="57737F54" w:rsidR="00DB3867" w:rsidRPr="008E04A7" w:rsidRDefault="00627407" w:rsidP="00DB3867">
      <w:pPr>
        <w:rPr>
          <w:rFonts w:ascii="Arial" w:hAnsi="Arial" w:cs="Arial"/>
        </w:rPr>
      </w:pPr>
      <w:r>
        <w:rPr>
          <w:rFonts w:ascii="Arial" w:hAnsi="Arial" w:cs="Arial"/>
          <w:b/>
          <w:bCs/>
          <w:color w:val="F01100"/>
        </w:rPr>
        <w:t>Charlie Colton</w:t>
      </w:r>
      <w:r w:rsidR="00DB3867" w:rsidRPr="00DB3867">
        <w:rPr>
          <w:rFonts w:ascii="Arial" w:hAnsi="Arial" w:cs="Arial"/>
          <w:color w:val="F01100"/>
        </w:rPr>
        <w:br/>
      </w:r>
      <w:r w:rsidR="00DB3867" w:rsidRPr="00627407">
        <w:rPr>
          <w:rFonts w:ascii="Arial" w:hAnsi="Arial" w:cs="Arial"/>
        </w:rPr>
        <w:t xml:space="preserve">Marketing </w:t>
      </w:r>
      <w:r w:rsidR="00AE1964">
        <w:rPr>
          <w:rFonts w:ascii="Arial" w:hAnsi="Arial" w:cs="Arial"/>
        </w:rPr>
        <w:t>Manager</w:t>
      </w:r>
      <w:r w:rsidR="00DB3867" w:rsidRPr="00627407">
        <w:rPr>
          <w:rFonts w:ascii="Arial" w:hAnsi="Arial" w:cs="Arial"/>
        </w:rPr>
        <w:t>, Finlay</w:t>
      </w:r>
      <w:r w:rsidR="00DB3867" w:rsidRPr="00627407">
        <w:rPr>
          <w:rFonts w:ascii="Arial" w:hAnsi="Arial" w:cs="Arial"/>
        </w:rPr>
        <w:br/>
      </w:r>
      <w:hyperlink r:id="rId8" w:history="1">
        <w:r w:rsidRPr="00627407">
          <w:rPr>
            <w:rStyle w:val="Hyperlink"/>
            <w:rFonts w:ascii="Arial" w:hAnsi="Arial" w:cs="Arial"/>
          </w:rPr>
          <w:t>Charlie.Colton@terex.com</w:t>
        </w:r>
      </w:hyperlink>
    </w:p>
    <w:p w14:paraId="503CE1A8" w14:textId="77777777" w:rsidR="00CE2352" w:rsidRDefault="00CE2352" w:rsidP="00DB3867">
      <w:pPr>
        <w:rPr>
          <w:rFonts w:ascii="Arial" w:hAnsi="Arial" w:cs="Arial"/>
          <w:b/>
          <w:bCs/>
          <w:color w:val="F01100"/>
        </w:rPr>
      </w:pPr>
    </w:p>
    <w:p w14:paraId="019781B0" w14:textId="636A832C" w:rsidR="00DB3867" w:rsidRPr="008E04A7" w:rsidRDefault="00DB3867" w:rsidP="00DB3867">
      <w:pPr>
        <w:rPr>
          <w:rFonts w:ascii="Arial" w:hAnsi="Arial" w:cs="Arial"/>
        </w:rPr>
      </w:pPr>
      <w:r w:rsidRPr="00DB3867">
        <w:rPr>
          <w:rFonts w:ascii="Arial" w:hAnsi="Arial" w:cs="Arial"/>
          <w:b/>
          <w:bCs/>
          <w:color w:val="F01100"/>
        </w:rPr>
        <w:t>Kerry-Ann McGeown</w:t>
      </w:r>
      <w:r w:rsidRPr="008E04A7">
        <w:rPr>
          <w:rFonts w:ascii="Arial" w:hAnsi="Arial" w:cs="Arial"/>
        </w:rPr>
        <w:br/>
        <w:t>Global Communications Manager, Terex MP</w:t>
      </w:r>
      <w:r w:rsidRPr="008E04A7">
        <w:rPr>
          <w:rFonts w:ascii="Arial" w:hAnsi="Arial" w:cs="Arial"/>
        </w:rPr>
        <w:br/>
      </w:r>
      <w:hyperlink r:id="rId9" w:history="1">
        <w:r w:rsidR="00CE2352" w:rsidRPr="003D5645">
          <w:rPr>
            <w:rStyle w:val="Hyperlink"/>
            <w:rFonts w:ascii="Arial" w:hAnsi="Arial" w:cs="Arial"/>
          </w:rPr>
          <w:t>kerry-ann.mcgeown@terex.com</w:t>
        </w:r>
      </w:hyperlink>
      <w:r w:rsidRPr="008E04A7">
        <w:rPr>
          <w:rFonts w:ascii="Arial" w:hAnsi="Arial" w:cs="Arial"/>
        </w:rPr>
        <w:t xml:space="preserve"> </w:t>
      </w:r>
    </w:p>
    <w:p w14:paraId="2C56F895" w14:textId="77777777" w:rsidR="00DB3867" w:rsidRPr="008E04A7" w:rsidRDefault="00DB3867" w:rsidP="00DB3867">
      <w:pPr>
        <w:rPr>
          <w:rFonts w:ascii="Arial" w:hAnsi="Arial" w:cs="Arial"/>
        </w:rPr>
      </w:pPr>
    </w:p>
    <w:p w14:paraId="1F8B3616" w14:textId="77777777" w:rsidR="00DB3867" w:rsidRPr="008E04A7" w:rsidRDefault="00DB3867" w:rsidP="00DB3867">
      <w:pPr>
        <w:rPr>
          <w:rFonts w:ascii="Arial" w:hAnsi="Arial" w:cs="Arial"/>
          <w:b/>
          <w:bCs/>
        </w:rPr>
      </w:pPr>
      <w:r w:rsidRPr="008E04A7">
        <w:rPr>
          <w:rFonts w:ascii="Arial" w:hAnsi="Arial" w:cs="Arial"/>
          <w:b/>
          <w:bCs/>
        </w:rPr>
        <w:t>About Terex:</w:t>
      </w:r>
    </w:p>
    <w:p w14:paraId="3AA6B3AF" w14:textId="77777777" w:rsidR="00DB3867" w:rsidRPr="003075CA" w:rsidRDefault="00DB3867" w:rsidP="00DB3867">
      <w:pPr>
        <w:spacing w:line="276" w:lineRule="auto"/>
        <w:rPr>
          <w:rFonts w:ascii="Arial" w:hAnsi="Arial" w:cs="Arial"/>
          <w:color w:val="000000" w:themeColor="text1"/>
          <w:sz w:val="16"/>
          <w:szCs w:val="16"/>
        </w:rPr>
      </w:pPr>
      <w:r w:rsidRPr="003075CA">
        <w:rPr>
          <w:rStyle w:val="normaltextrun"/>
          <w:rFonts w:ascii="Arial" w:hAnsi="Arial" w:cs="Arial"/>
          <w:color w:val="000000"/>
          <w:sz w:val="16"/>
          <w:szCs w:val="16"/>
          <w:shd w:val="clear" w:color="auto" w:fill="FFFFFF"/>
        </w:rPr>
        <w:t>Terex Corporation is a global industrial equipment manufacturer of materials processing machinery, waste and recycling solutions, mobile elevating work platforms (MEWPs), and equipment for the electric utility industry. We design, build, and support products used in maintenance, manufacturing, energy, minerals and materials management, construction, waste and recycling, and the entertainment industry. We provide best-in-class lifecycle support to our customers through our global parts and services organization, and offer complementary digital solutions, designed to help our customers maximize their return on their investment. Certain Terex products and solutions enable customers to reduce their impact on the environment including electric and hybrid offerings that deliver quiet and emission-free performance, products that support renewable energy, and products that aid in the recovery of useful materials from various types of waste. Our products are manufactured in North America, Europe, and Asia Pacific and sold worldwide.</w:t>
      </w:r>
    </w:p>
    <w:p w14:paraId="4516FFA7" w14:textId="77777777" w:rsidR="00415F88" w:rsidRPr="00D055A2" w:rsidRDefault="00415F88" w:rsidP="0063284C">
      <w:pPr>
        <w:rPr>
          <w:rFonts w:ascii="Arial" w:hAnsi="Arial" w:cs="Arial"/>
          <w:sz w:val="24"/>
          <w:szCs w:val="24"/>
        </w:rPr>
      </w:pPr>
    </w:p>
    <w:sectPr w:rsidR="00415F88" w:rsidRPr="00D055A2">
      <w:headerReference w:type="default" r:id="rId10"/>
      <w:footerReference w:type="default" r:id="rId11"/>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6275D" w14:textId="77777777" w:rsidR="00B66508" w:rsidRDefault="00B66508">
      <w:pPr>
        <w:spacing w:after="0" w:line="240" w:lineRule="auto"/>
      </w:pPr>
      <w:r>
        <w:separator/>
      </w:r>
    </w:p>
  </w:endnote>
  <w:endnote w:type="continuationSeparator" w:id="0">
    <w:p w14:paraId="23CF443B" w14:textId="77777777" w:rsidR="00B66508" w:rsidRDefault="00B66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437B5" w14:textId="77777777" w:rsidR="007F62F5" w:rsidRDefault="007F6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3EF52" w14:textId="77777777" w:rsidR="00B66508" w:rsidRDefault="00B66508">
      <w:pPr>
        <w:spacing w:after="0" w:line="240" w:lineRule="auto"/>
      </w:pPr>
      <w:r>
        <w:rPr>
          <w:color w:val="000000"/>
        </w:rPr>
        <w:separator/>
      </w:r>
    </w:p>
  </w:footnote>
  <w:footnote w:type="continuationSeparator" w:id="0">
    <w:p w14:paraId="69A498B2" w14:textId="77777777" w:rsidR="00B66508" w:rsidRDefault="00B665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437B3" w14:textId="77777777" w:rsidR="007F62F5" w:rsidRDefault="0033655F">
    <w:pPr>
      <w:pStyle w:val="Header"/>
    </w:pPr>
    <w:r>
      <w:rPr>
        <w:noProof/>
      </w:rPr>
      <w:drawing>
        <wp:anchor distT="0" distB="0" distL="114300" distR="114300" simplePos="0" relativeHeight="251659264" behindDoc="1" locked="0" layoutInCell="1" allowOverlap="1" wp14:anchorId="390437AB" wp14:editId="390437AC">
          <wp:simplePos x="0" y="0"/>
          <wp:positionH relativeFrom="margin">
            <wp:align>center</wp:align>
          </wp:positionH>
          <wp:positionV relativeFrom="margin">
            <wp:align>center</wp:align>
          </wp:positionV>
          <wp:extent cx="7559043" cy="10692134"/>
          <wp:effectExtent l="0" t="0" r="3807" b="0"/>
          <wp:wrapNone/>
          <wp:docPr id="1" name="WordPictureWatermark41421965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559043" cy="10692134"/>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8D1262"/>
    <w:multiLevelType w:val="multilevel"/>
    <w:tmpl w:val="E168E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793298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425"/>
    <w:rsid w:val="00013425"/>
    <w:rsid w:val="00021E87"/>
    <w:rsid w:val="00070B8E"/>
    <w:rsid w:val="001100FF"/>
    <w:rsid w:val="00111467"/>
    <w:rsid w:val="00127156"/>
    <w:rsid w:val="00176E09"/>
    <w:rsid w:val="00183737"/>
    <w:rsid w:val="001B746F"/>
    <w:rsid w:val="001C385A"/>
    <w:rsid w:val="00203696"/>
    <w:rsid w:val="002A40D7"/>
    <w:rsid w:val="002B3A82"/>
    <w:rsid w:val="002F1E8E"/>
    <w:rsid w:val="003075CA"/>
    <w:rsid w:val="0033655F"/>
    <w:rsid w:val="003B129A"/>
    <w:rsid w:val="00415F88"/>
    <w:rsid w:val="00531FA6"/>
    <w:rsid w:val="005818EE"/>
    <w:rsid w:val="005837E1"/>
    <w:rsid w:val="00610E92"/>
    <w:rsid w:val="00627407"/>
    <w:rsid w:val="0063284C"/>
    <w:rsid w:val="00644794"/>
    <w:rsid w:val="00672F5A"/>
    <w:rsid w:val="0069465B"/>
    <w:rsid w:val="00696C48"/>
    <w:rsid w:val="007C1F05"/>
    <w:rsid w:val="007E01E2"/>
    <w:rsid w:val="007F4F5F"/>
    <w:rsid w:val="007F62F5"/>
    <w:rsid w:val="008030B4"/>
    <w:rsid w:val="00811D7F"/>
    <w:rsid w:val="008959EC"/>
    <w:rsid w:val="008A6B50"/>
    <w:rsid w:val="00912515"/>
    <w:rsid w:val="00916B90"/>
    <w:rsid w:val="0092408D"/>
    <w:rsid w:val="0096684B"/>
    <w:rsid w:val="00A2709B"/>
    <w:rsid w:val="00A31EDC"/>
    <w:rsid w:val="00A35166"/>
    <w:rsid w:val="00AE1964"/>
    <w:rsid w:val="00AE5E45"/>
    <w:rsid w:val="00B37812"/>
    <w:rsid w:val="00B66508"/>
    <w:rsid w:val="00B95540"/>
    <w:rsid w:val="00BF34D2"/>
    <w:rsid w:val="00C12800"/>
    <w:rsid w:val="00C13ABE"/>
    <w:rsid w:val="00C32A80"/>
    <w:rsid w:val="00C43C3F"/>
    <w:rsid w:val="00C44F0C"/>
    <w:rsid w:val="00C712F5"/>
    <w:rsid w:val="00C7175E"/>
    <w:rsid w:val="00C8066A"/>
    <w:rsid w:val="00CB4905"/>
    <w:rsid w:val="00CE2352"/>
    <w:rsid w:val="00D01608"/>
    <w:rsid w:val="00D055A2"/>
    <w:rsid w:val="00D26486"/>
    <w:rsid w:val="00D30E8F"/>
    <w:rsid w:val="00DB3867"/>
    <w:rsid w:val="00DC2FF0"/>
    <w:rsid w:val="00E670B5"/>
    <w:rsid w:val="00E96C9A"/>
    <w:rsid w:val="00F60B8D"/>
    <w:rsid w:val="00F6713F"/>
    <w:rsid w:val="00FA138D"/>
    <w:rsid w:val="00FC20D9"/>
    <w:rsid w:val="00FC4BD9"/>
    <w:rsid w:val="00FE1D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437AB"/>
  <w15:docId w15:val="{AE4A2B25-60BE-45AB-AF96-3CEC8BEE6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GB"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NormalWeb">
    <w:name w:val="Normal (Web)"/>
    <w:basedOn w:val="Normal"/>
    <w:unhideWhenUsed/>
    <w:rsid w:val="0063284C"/>
    <w:pPr>
      <w:suppressAutoHyphens w:val="0"/>
      <w:autoSpaceDN/>
      <w:spacing w:before="100" w:beforeAutospacing="1" w:after="100" w:afterAutospacing="1" w:line="240" w:lineRule="auto"/>
    </w:pPr>
    <w:rPr>
      <w:rFonts w:ascii="Times New Roman" w:eastAsia="Times New Roman" w:hAnsi="Times New Roman"/>
      <w:sz w:val="24"/>
      <w:szCs w:val="24"/>
      <w:lang w:eastAsia="en-GB"/>
    </w:rPr>
  </w:style>
  <w:style w:type="character" w:styleId="Strong">
    <w:name w:val="Strong"/>
    <w:basedOn w:val="DefaultParagraphFont"/>
    <w:qFormat/>
    <w:rsid w:val="0063284C"/>
    <w:rPr>
      <w:b/>
      <w:bCs/>
    </w:rPr>
  </w:style>
  <w:style w:type="character" w:styleId="Emphasis">
    <w:name w:val="Emphasis"/>
    <w:basedOn w:val="DefaultParagraphFont"/>
    <w:uiPriority w:val="20"/>
    <w:qFormat/>
    <w:rsid w:val="0063284C"/>
    <w:rPr>
      <w:i/>
      <w:iCs/>
    </w:rPr>
  </w:style>
  <w:style w:type="character" w:styleId="Hyperlink">
    <w:name w:val="Hyperlink"/>
    <w:basedOn w:val="DefaultParagraphFont"/>
    <w:rsid w:val="0069465B"/>
    <w:rPr>
      <w:color w:val="0563C1"/>
      <w:u w:val="single"/>
    </w:rPr>
  </w:style>
  <w:style w:type="character" w:styleId="UnresolvedMention">
    <w:name w:val="Unresolved Mention"/>
    <w:basedOn w:val="DefaultParagraphFont"/>
    <w:uiPriority w:val="99"/>
    <w:semiHidden/>
    <w:unhideWhenUsed/>
    <w:rsid w:val="0069465B"/>
    <w:rPr>
      <w:color w:val="605E5C"/>
      <w:shd w:val="clear" w:color="auto" w:fill="E1DFDD"/>
    </w:rPr>
  </w:style>
  <w:style w:type="character" w:customStyle="1" w:styleId="linktext">
    <w:name w:val="link_text"/>
    <w:basedOn w:val="DefaultParagraphFont"/>
    <w:rsid w:val="0069465B"/>
  </w:style>
  <w:style w:type="paragraph" w:styleId="Revision">
    <w:name w:val="Revision"/>
    <w:hidden/>
    <w:uiPriority w:val="99"/>
    <w:semiHidden/>
    <w:rsid w:val="00C712F5"/>
    <w:pPr>
      <w:autoSpaceDN/>
      <w:spacing w:after="0" w:line="240" w:lineRule="auto"/>
    </w:pPr>
  </w:style>
  <w:style w:type="character" w:styleId="CommentReference">
    <w:name w:val="annotation reference"/>
    <w:basedOn w:val="DefaultParagraphFont"/>
    <w:uiPriority w:val="99"/>
    <w:semiHidden/>
    <w:unhideWhenUsed/>
    <w:rsid w:val="008959EC"/>
    <w:rPr>
      <w:sz w:val="16"/>
      <w:szCs w:val="16"/>
    </w:rPr>
  </w:style>
  <w:style w:type="paragraph" w:styleId="CommentText">
    <w:name w:val="annotation text"/>
    <w:basedOn w:val="Normal"/>
    <w:link w:val="CommentTextChar"/>
    <w:uiPriority w:val="99"/>
    <w:unhideWhenUsed/>
    <w:rsid w:val="008959EC"/>
    <w:pPr>
      <w:spacing w:line="240" w:lineRule="auto"/>
    </w:pPr>
    <w:rPr>
      <w:sz w:val="20"/>
      <w:szCs w:val="20"/>
    </w:rPr>
  </w:style>
  <w:style w:type="character" w:customStyle="1" w:styleId="CommentTextChar">
    <w:name w:val="Comment Text Char"/>
    <w:basedOn w:val="DefaultParagraphFont"/>
    <w:link w:val="CommentText"/>
    <w:uiPriority w:val="99"/>
    <w:rsid w:val="008959EC"/>
    <w:rPr>
      <w:sz w:val="20"/>
      <w:szCs w:val="20"/>
    </w:rPr>
  </w:style>
  <w:style w:type="paragraph" w:styleId="CommentSubject">
    <w:name w:val="annotation subject"/>
    <w:basedOn w:val="CommentText"/>
    <w:next w:val="CommentText"/>
    <w:link w:val="CommentSubjectChar"/>
    <w:uiPriority w:val="99"/>
    <w:semiHidden/>
    <w:unhideWhenUsed/>
    <w:rsid w:val="008959EC"/>
    <w:rPr>
      <w:b/>
      <w:bCs/>
    </w:rPr>
  </w:style>
  <w:style w:type="character" w:customStyle="1" w:styleId="CommentSubjectChar">
    <w:name w:val="Comment Subject Char"/>
    <w:basedOn w:val="CommentTextChar"/>
    <w:link w:val="CommentSubject"/>
    <w:uiPriority w:val="99"/>
    <w:semiHidden/>
    <w:rsid w:val="008959EC"/>
    <w:rPr>
      <w:b/>
      <w:bCs/>
      <w:sz w:val="20"/>
      <w:szCs w:val="20"/>
    </w:rPr>
  </w:style>
  <w:style w:type="character" w:customStyle="1" w:styleId="normaltextrun">
    <w:name w:val="normaltextrun"/>
    <w:basedOn w:val="DefaultParagraphFont"/>
    <w:rsid w:val="00DB38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536393">
      <w:bodyDiv w:val="1"/>
      <w:marLeft w:val="0"/>
      <w:marRight w:val="0"/>
      <w:marTop w:val="0"/>
      <w:marBottom w:val="0"/>
      <w:divBdr>
        <w:top w:val="none" w:sz="0" w:space="0" w:color="auto"/>
        <w:left w:val="none" w:sz="0" w:space="0" w:color="auto"/>
        <w:bottom w:val="none" w:sz="0" w:space="0" w:color="auto"/>
        <w:right w:val="none" w:sz="0" w:space="0" w:color="auto"/>
      </w:divBdr>
    </w:div>
    <w:div w:id="248004879">
      <w:bodyDiv w:val="1"/>
      <w:marLeft w:val="0"/>
      <w:marRight w:val="0"/>
      <w:marTop w:val="0"/>
      <w:marBottom w:val="0"/>
      <w:divBdr>
        <w:top w:val="none" w:sz="0" w:space="0" w:color="auto"/>
        <w:left w:val="none" w:sz="0" w:space="0" w:color="auto"/>
        <w:bottom w:val="none" w:sz="0" w:space="0" w:color="auto"/>
        <w:right w:val="none" w:sz="0" w:space="0" w:color="auto"/>
      </w:divBdr>
    </w:div>
    <w:div w:id="896087883">
      <w:bodyDiv w:val="1"/>
      <w:marLeft w:val="0"/>
      <w:marRight w:val="0"/>
      <w:marTop w:val="0"/>
      <w:marBottom w:val="0"/>
      <w:divBdr>
        <w:top w:val="none" w:sz="0" w:space="0" w:color="auto"/>
        <w:left w:val="none" w:sz="0" w:space="0" w:color="auto"/>
        <w:bottom w:val="none" w:sz="0" w:space="0" w:color="auto"/>
        <w:right w:val="none" w:sz="0" w:space="0" w:color="auto"/>
      </w:divBdr>
    </w:div>
    <w:div w:id="1256327379">
      <w:bodyDiv w:val="1"/>
      <w:marLeft w:val="0"/>
      <w:marRight w:val="0"/>
      <w:marTop w:val="0"/>
      <w:marBottom w:val="0"/>
      <w:divBdr>
        <w:top w:val="none" w:sz="0" w:space="0" w:color="auto"/>
        <w:left w:val="none" w:sz="0" w:space="0" w:color="auto"/>
        <w:bottom w:val="none" w:sz="0" w:space="0" w:color="auto"/>
        <w:right w:val="none" w:sz="0" w:space="0" w:color="auto"/>
      </w:divBdr>
    </w:div>
    <w:div w:id="20075118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harlie.Colton@terex.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erex.com/finlay"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kerry-ann.mcgeown@terex.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832</Words>
  <Characters>5004</Characters>
  <Application>Microsoft Office Word</Application>
  <DocSecurity>0</DocSecurity>
  <Lines>83</Lines>
  <Paragraphs>19</Paragraphs>
  <ScaleCrop>false</ScaleCrop>
  <HeadingPairs>
    <vt:vector size="2" baseType="variant">
      <vt:variant>
        <vt:lpstr>Title</vt:lpstr>
      </vt:variant>
      <vt:variant>
        <vt:i4>1</vt:i4>
      </vt:variant>
    </vt:vector>
  </HeadingPairs>
  <TitlesOfParts>
    <vt:vector size="1" baseType="lpstr">
      <vt:lpstr/>
    </vt:vector>
  </TitlesOfParts>
  <Company>Terex</Company>
  <LinksUpToDate>false</LinksUpToDate>
  <CharactersWithSpaces>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Ewing, Claire</dc:creator>
  <dc:description/>
  <cp:lastModifiedBy>McGeown, Kerry-Ann</cp:lastModifiedBy>
  <cp:revision>2</cp:revision>
  <dcterms:created xsi:type="dcterms:W3CDTF">2026-01-21T16:08:00Z</dcterms:created>
  <dcterms:modified xsi:type="dcterms:W3CDTF">2026-01-21T16:08:00Z</dcterms:modified>
</cp:coreProperties>
</file>